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146/04 vom 8. Oktober 2004</w:t>
      </w:r>
    </w:p>
    <w:p>
      <w:r>
        <w:t>Bundesstrafgericht, 2004-10-08, DE</w:t>
      </w:r>
    </w:p>
    <w:p>
      <w:r>
        <w:rPr>
          <w:b/>
        </w:rPr>
        <w:t xml:space="preserve">Quelle: </w:t>
      </w:r>
      <w:r>
        <w:t>https://mcp.opencaselaw.ch/entscheid/bstger_BK_H 146_04</w:t>
      </w:r>
    </w:p>
    <w:p>
      <w:r>
        <w:t>FR: TPF BK_H 146/04 du 8 octobre 2004</w:t>
      </w:r>
    </w:p>
    <w:p>
      <w:r>
        <w:t>IT: TPF BK_H 146/04 del 8 ottobre 2004</w:t>
      </w:r>
    </w:p>
    <w:p>
      <w:pPr>
        <w:pStyle w:val="Heading2"/>
      </w:pPr>
      <w:r>
        <w:t>Regeste</w:t>
      </w:r>
    </w:p>
    <w:p>
      <w:r>
        <w:t>Gesuch um Haftverlängerung (Art. 51 Ziff. 2 + 3 BStP)</w:t>
      </w:r>
    </w:p>
    <w:p>
      <w:pPr>
        <w:pStyle w:val="Heading2"/>
      </w:pPr>
      <w:r>
        <w:t>Erwägungen</w:t>
      </w:r>
    </w:p>
    <w:p>
      <w:r>
        <w:rPr>
          <w:b/>
        </w:rPr>
        <w:t>E. 2</w:t>
      </w:r>
    </w:p>
    <w:p>
      <w:r>
        <w:t>Juni 1998 [Beilage 7: der Gesuchsgegner bestätigt unterschriftlich, Inhaber des Kontos D.______ zu sein] in Verbindung mit den Kontoauszügen D.______ [Beilage 11: die Auszüge zeigen zahlreiche Bareinzahlungen in Millionenhöhe], die Einvernahmen des Gesuchsgegners vom 31. August und 8. September 2004 und das Urteil des Tribunale Civile e Penale di Bari vom 17. Juli 2001) einen dringenden Tatverdacht gegen den Gesuchsgegner wegen Unterstützung von bzw. Beteiligung an einer kriminellen Organisation im Sinne von Art. 260ter StGB und Geldwäscherei im Sinne von Art. 305bis StGB bestätigen; dass der Gesuchsgegner offenbar eine Neigung zu kolludieren hat, wider- sprechen doch zahlreiche von ihm eigenhändig unterzeichnete Bestätigungen (Zwischenbericht Beilage 4) je nach Situation den eigenen Aussagen (Einvernahme des Gesuchsgegners vom 8. September 2004, S. 10); dass der Gesuchsgegner in den bisherigen Einvernahmen ziemlich ausführlich zur Sache Auskunft gab, jedoch regelmässig die Aussagen darüber verwei- gerte, welche Personen in welcher Funktion bei den ihm zur Last gelegten Ge- schäften mitgewirkt haben (statt Vieler: Einvernahme des Gesuchsgegners vom 8. September 2004, S. 8 oben); dass die bisher getätigten Ermittlungen das Zusammenwirken des Gesuchs- gegners vor allem mit den Mitverdächtigten E.______ und F.______ aufzeigen, und das Kollusionsbedürfnis des Gesuchsgegners sich deshalb insbesondere mit diesen Herren konkretisieren könnte, denn diese müssten ja, falls der Ge- suchsgegner entlassen würde, aus Gleichbehandlungsgründen ebenfalls auf freien Fuss gesetzt werden; dass diese Kollusionsneigung den Beschuldigten bei einer verfrühten Frei- lassung u.a. dazu führen könnte, sich mit beteiligten Drittpersonen (insbe- sondere G.______) bzw. noch nicht verhafteten Beschuldigten (insbesondere H.______) abzusprechen; dass damit konkrete Indizien für die Annahme von heute nach wie vor aktueller Verdunkelungsgefahr sprechen; dass zahlreiche Ermittlungshandlungen im heutigen Zeitpunkt noch nicht abge- schlossen sind und es angesichts der umfangreichen Menge von verfahrens- relevantem Material und der Anzahl involvierter Personen noch erhebliche Zeit</w:t>
      </w:r>
    </w:p>
    <w:p>
      <w:r>
        <w:t>- 4 -</w:t>
      </w:r>
    </w:p>
    <w:p>
      <w:r>
        <w:t>dauern wird, bis die Ermittlungen soweit gediehen sind, dass die Entlassung des Gesuchsgegners unter dem Gesichtspunkt der Kollusion ins Auge gefasst werden kann; dass in Anbetracht der abzuklärenden Delikte Untersuchungshaft auch ange- sichts des hohen Alters des Gesuchsgegners ohne weiteres verhältnismässig ist; solange dessen gesundheitliche Situation stabil bleibt und er entsprechend beobachtet wird, dass die Tatsache, dass bis zum 21. September 2004 bereits die vierte mehr- stündige Befragung des Gesuchsgegners stattgefunden hat, mit Nachdruck dafür spricht, dass die Gesuchstellerin dem Beschleunigungsgebot nachkommt; dass dem Gesuch unter Berücksichtigung dieser Gesichtspunkte bis zum 30. November 2004 stattzugeben ist, die Gesuchstellerin jedoch die Freilassung jederzeit verfügen kann, wenn keine Haftgründe mehr bestehen; dass die Gerichtsgebühr für das vorliegende Haftverlängerungsverfahren ge- stützt auf Art. 3 des Reglementes vom 11. Februar 2004 über die Gerichts- gebühren vor dem Bundesstrafgericht, SR 173.711.32, auf Fr. 1'000.-- festzu- setzen und bei der Hauptsache zu belassen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